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50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34"/>
        <w:gridCol w:w="5571"/>
      </w:tblGrid>
      <w:tr w:rsidR="00965854" w:rsidTr="00965854">
        <w:trPr>
          <w:jc w:val="center"/>
        </w:trPr>
        <w:tc>
          <w:tcPr>
            <w:tcW w:w="2934" w:type="dxa"/>
          </w:tcPr>
          <w:p w:rsidR="00965854" w:rsidRDefault="00965854" w:rsidP="00965854">
            <w:pPr>
              <w:bidi w:val="0"/>
              <w:jc w:val="right"/>
              <w:rPr>
                <w:rFonts w:ascii="Arial" w:hAnsi="Arial"/>
                <w:b/>
                <w:bCs/>
                <w:noProof w:val="0"/>
                <w:sz w:val="26"/>
                <w:szCs w:val="26"/>
              </w:rPr>
            </w:pPr>
            <w:bookmarkStart w:id="0" w:name="_GoBack"/>
            <w:bookmarkEnd w:id="0"/>
            <w:r>
              <w:rPr>
                <w:rFonts w:ascii="Arial" w:hAnsi="Arial"/>
                <w:b/>
                <w:bCs/>
                <w:noProof w:val="0"/>
                <w:sz w:val="26"/>
                <w:szCs w:val="26"/>
                <w:rtl/>
              </w:rPr>
              <w:t>בעניין הקטינים:</w:t>
            </w:r>
          </w:p>
          <w:p w:rsidR="00965854" w:rsidRDefault="00965854">
            <w:pPr>
              <w:bidi w:val="0"/>
              <w:jc w:val="right"/>
              <w:rPr>
                <w:rFonts w:ascii="David" w:hAnsi="David"/>
                <w:b/>
                <w:bCs/>
                <w:noProof w:val="0"/>
                <w:sz w:val="26"/>
                <w:szCs w:val="26"/>
              </w:rPr>
            </w:pPr>
          </w:p>
          <w:p w:rsidR="00965854" w:rsidRDefault="00965854">
            <w:pPr>
              <w:bidi w:val="0"/>
              <w:jc w:val="right"/>
              <w:rPr>
                <w:rFonts w:ascii="David" w:hAnsi="David"/>
                <w:b/>
                <w:bCs/>
                <w:noProof w:val="0"/>
                <w:sz w:val="26"/>
                <w:szCs w:val="26"/>
              </w:rPr>
            </w:pPr>
          </w:p>
          <w:p w:rsidR="00965854" w:rsidRPr="00965854" w:rsidRDefault="00965854">
            <w:pPr>
              <w:bidi w:val="0"/>
              <w:jc w:val="right"/>
              <w:rPr>
                <w:rFonts w:ascii="David" w:hAnsi="David"/>
                <w:b/>
                <w:bCs/>
                <w:noProof w:val="0"/>
              </w:rPr>
            </w:pPr>
          </w:p>
          <w:p w:rsidR="00965854" w:rsidRPr="00965854" w:rsidRDefault="00965854">
            <w:pPr>
              <w:bidi w:val="0"/>
              <w:jc w:val="right"/>
              <w:rPr>
                <w:rFonts w:ascii="David" w:hAnsi="David"/>
                <w:b/>
                <w:bCs/>
                <w:noProof w:val="0"/>
              </w:rPr>
            </w:pPr>
          </w:p>
          <w:p w:rsidR="00965854" w:rsidRDefault="00965854" w:rsidP="00965854">
            <w:pPr>
              <w:bidi w:val="0"/>
              <w:jc w:val="right"/>
              <w:rPr>
                <w:rFonts w:ascii="Arial" w:hAnsi="Arial"/>
                <w:b/>
                <w:bCs/>
                <w:noProof w:val="0"/>
                <w:sz w:val="26"/>
                <w:szCs w:val="26"/>
                <w:rtl/>
              </w:rPr>
            </w:pPr>
            <w:r>
              <w:rPr>
                <w:rFonts w:ascii="Arial" w:hAnsi="Arial"/>
                <w:b/>
                <w:bCs/>
                <w:noProof w:val="0"/>
                <w:sz w:val="26"/>
                <w:szCs w:val="26"/>
                <w:rtl/>
              </w:rPr>
              <w:t>המבקשת:</w:t>
            </w:r>
          </w:p>
        </w:tc>
        <w:tc>
          <w:tcPr>
            <w:tcW w:w="5571" w:type="dxa"/>
          </w:tcPr>
          <w:p w:rsidR="00965854" w:rsidRDefault="00965854" w:rsidP="00A7089E">
            <w:pPr>
              <w:rPr>
                <w:rFonts w:ascii="Arial" w:hAnsi="Arial"/>
                <w:b/>
                <w:bCs/>
                <w:noProof w:val="0"/>
                <w:sz w:val="26"/>
                <w:szCs w:val="26"/>
                <w:rtl/>
              </w:rPr>
            </w:pPr>
            <w:r>
              <w:rPr>
                <w:rFonts w:ascii="Arial" w:hAnsi="Arial"/>
                <w:b/>
                <w:bCs/>
                <w:noProof w:val="0"/>
                <w:sz w:val="26"/>
                <w:szCs w:val="26"/>
                <w:rtl/>
              </w:rPr>
              <w:t xml:space="preserve">1. </w:t>
            </w:r>
            <w:r w:rsidR="00A7089E">
              <w:rPr>
                <w:rFonts w:ascii="Arial" w:hAnsi="Arial" w:hint="cs"/>
                <w:b/>
                <w:bCs/>
                <w:noProof w:val="0"/>
                <w:sz w:val="26"/>
                <w:szCs w:val="26"/>
                <w:rtl/>
              </w:rPr>
              <w:t xml:space="preserve">פלונית </w:t>
            </w:r>
          </w:p>
          <w:p w:rsidR="00965854" w:rsidRDefault="00965854" w:rsidP="00A7089E">
            <w:pPr>
              <w:rPr>
                <w:rFonts w:ascii="Arial" w:hAnsi="Arial"/>
                <w:b/>
                <w:bCs/>
                <w:noProof w:val="0"/>
                <w:sz w:val="26"/>
                <w:szCs w:val="26"/>
                <w:rtl/>
              </w:rPr>
            </w:pPr>
            <w:r>
              <w:rPr>
                <w:rFonts w:ascii="Arial" w:hAnsi="Arial"/>
                <w:b/>
                <w:bCs/>
                <w:noProof w:val="0"/>
                <w:sz w:val="26"/>
                <w:szCs w:val="26"/>
                <w:rtl/>
              </w:rPr>
              <w:t xml:space="preserve">2. </w:t>
            </w:r>
            <w:r w:rsidR="00A7089E">
              <w:rPr>
                <w:rFonts w:ascii="Arial" w:hAnsi="Arial" w:hint="cs"/>
                <w:b/>
                <w:bCs/>
                <w:noProof w:val="0"/>
                <w:sz w:val="26"/>
                <w:szCs w:val="26"/>
                <w:rtl/>
              </w:rPr>
              <w:t>פלוני</w:t>
            </w:r>
          </w:p>
          <w:p w:rsidR="00965854" w:rsidRDefault="00965854" w:rsidP="00A7089E">
            <w:pPr>
              <w:rPr>
                <w:rFonts w:ascii="Arial" w:hAnsi="Arial"/>
                <w:b/>
                <w:bCs/>
                <w:noProof w:val="0"/>
                <w:sz w:val="26"/>
                <w:szCs w:val="26"/>
                <w:rtl/>
              </w:rPr>
            </w:pPr>
            <w:r>
              <w:rPr>
                <w:rFonts w:ascii="Arial" w:hAnsi="Arial"/>
                <w:b/>
                <w:bCs/>
                <w:noProof w:val="0"/>
                <w:sz w:val="26"/>
                <w:szCs w:val="26"/>
                <w:rtl/>
              </w:rPr>
              <w:t xml:space="preserve">3. </w:t>
            </w:r>
            <w:r w:rsidR="00A7089E">
              <w:rPr>
                <w:rFonts w:ascii="Arial" w:hAnsi="Arial" w:hint="cs"/>
                <w:b/>
                <w:bCs/>
                <w:noProof w:val="0"/>
                <w:sz w:val="26"/>
                <w:szCs w:val="26"/>
                <w:rtl/>
              </w:rPr>
              <w:t xml:space="preserve">פלונית </w:t>
            </w:r>
          </w:p>
          <w:p w:rsidR="00965854" w:rsidRPr="00965854" w:rsidRDefault="00965854">
            <w:pPr>
              <w:rPr>
                <w:rFonts w:ascii="Arial" w:hAnsi="Arial"/>
                <w:b/>
                <w:bCs/>
                <w:noProof w:val="0"/>
                <w:rtl/>
              </w:rPr>
            </w:pPr>
          </w:p>
          <w:p w:rsidR="00965854" w:rsidRPr="00965854" w:rsidRDefault="00965854">
            <w:pPr>
              <w:rPr>
                <w:rFonts w:ascii="Arial" w:hAnsi="Arial"/>
                <w:b/>
                <w:bCs/>
                <w:noProof w:val="0"/>
                <w:rtl/>
              </w:rPr>
            </w:pPr>
          </w:p>
          <w:p w:rsidR="00965854" w:rsidRPr="00A7089E" w:rsidRDefault="00A7089E" w:rsidP="00A7089E">
            <w:pPr>
              <w:rPr>
                <w:b/>
                <w:bCs/>
                <w:sz w:val="26"/>
                <w:szCs w:val="26"/>
                <w:rtl/>
              </w:rPr>
            </w:pPr>
            <w:r w:rsidRPr="00A7089E">
              <w:rPr>
                <w:rFonts w:hint="cs"/>
                <w:b/>
                <w:bCs/>
                <w:sz w:val="26"/>
                <w:szCs w:val="26"/>
                <w:rtl/>
              </w:rPr>
              <w:t xml:space="preserve">פלונית </w:t>
            </w:r>
          </w:p>
          <w:p w:rsidR="00965854" w:rsidRDefault="00965854">
            <w:pPr>
              <w:rPr>
                <w:noProof w:val="0"/>
                <w:sz w:val="26"/>
                <w:szCs w:val="26"/>
              </w:rPr>
            </w:pPr>
            <w:r>
              <w:rPr>
                <w:rtl/>
              </w:rPr>
              <w:t>ע"י עו"ד טליה קופלמן פרדו</w:t>
            </w:r>
          </w:p>
        </w:tc>
      </w:tr>
      <w:tr w:rsidR="00965854" w:rsidTr="00965854">
        <w:trPr>
          <w:jc w:val="center"/>
        </w:trPr>
        <w:tc>
          <w:tcPr>
            <w:tcW w:w="8505" w:type="dxa"/>
            <w:gridSpan w:val="2"/>
          </w:tcPr>
          <w:p w:rsidR="00965854" w:rsidRDefault="00965854">
            <w:pPr>
              <w:rPr>
                <w:rFonts w:ascii="Arial" w:hAnsi="Arial"/>
                <w:b/>
                <w:bCs/>
                <w:noProof w:val="0"/>
                <w:rtl/>
              </w:rPr>
            </w:pPr>
          </w:p>
          <w:p w:rsidR="00965854" w:rsidRDefault="00965854">
            <w:pPr>
              <w:jc w:val="center"/>
              <w:rPr>
                <w:rFonts w:ascii="Arial" w:hAnsi="Arial"/>
                <w:b/>
                <w:bCs/>
                <w:noProof w:val="0"/>
                <w:sz w:val="26"/>
                <w:szCs w:val="26"/>
              </w:rPr>
            </w:pPr>
            <w:r>
              <w:rPr>
                <w:rFonts w:ascii="Arial" w:hAnsi="Arial"/>
                <w:b/>
                <w:bCs/>
                <w:noProof w:val="0"/>
                <w:sz w:val="26"/>
                <w:szCs w:val="26"/>
                <w:rtl/>
              </w:rPr>
              <w:t>נגד</w:t>
            </w:r>
          </w:p>
          <w:p w:rsidR="00965854" w:rsidRDefault="00965854">
            <w:pPr>
              <w:rPr>
                <w:rFonts w:ascii="Arial" w:hAnsi="Arial"/>
                <w:b/>
                <w:bCs/>
                <w:noProof w:val="0"/>
                <w:rtl/>
              </w:rPr>
            </w:pPr>
          </w:p>
        </w:tc>
      </w:tr>
      <w:tr w:rsidR="00965854" w:rsidTr="00965854">
        <w:trPr>
          <w:jc w:val="center"/>
        </w:trPr>
        <w:tc>
          <w:tcPr>
            <w:tcW w:w="2934" w:type="dxa"/>
            <w:hideMark/>
          </w:tcPr>
          <w:p w:rsidR="00965854" w:rsidRDefault="00965854">
            <w:pPr>
              <w:rPr>
                <w:rFonts w:ascii="Arial" w:hAnsi="Arial"/>
                <w:b/>
                <w:bCs/>
                <w:noProof w:val="0"/>
                <w:sz w:val="26"/>
                <w:szCs w:val="26"/>
                <w:rtl/>
              </w:rPr>
            </w:pPr>
            <w:r>
              <w:rPr>
                <w:rFonts w:ascii="Arial" w:hAnsi="Arial"/>
                <w:b/>
                <w:bCs/>
                <w:noProof w:val="0"/>
                <w:sz w:val="26"/>
                <w:szCs w:val="26"/>
                <w:rtl/>
              </w:rPr>
              <w:t>המשיב:</w:t>
            </w:r>
          </w:p>
        </w:tc>
        <w:tc>
          <w:tcPr>
            <w:tcW w:w="5571" w:type="dxa"/>
            <w:hideMark/>
          </w:tcPr>
          <w:p w:rsidR="00965854" w:rsidRPr="00A7089E" w:rsidRDefault="00A7089E">
            <w:pPr>
              <w:rPr>
                <w:b/>
                <w:bCs/>
                <w:noProof w:val="0"/>
                <w:sz w:val="26"/>
                <w:szCs w:val="26"/>
              </w:rPr>
            </w:pPr>
            <w:r w:rsidRPr="00A7089E">
              <w:rPr>
                <w:rFonts w:hint="cs"/>
                <w:b/>
                <w:bCs/>
                <w:sz w:val="26"/>
                <w:szCs w:val="26"/>
                <w:rtl/>
              </w:rPr>
              <w:t>פלוני</w:t>
            </w:r>
          </w:p>
          <w:p w:rsidR="00965854" w:rsidRDefault="00965854">
            <w:pPr>
              <w:rPr>
                <w:noProof w:val="0"/>
                <w:sz w:val="26"/>
                <w:szCs w:val="26"/>
              </w:rPr>
            </w:pPr>
            <w:r>
              <w:rPr>
                <w:noProof w:val="0"/>
                <w:rtl/>
              </w:rPr>
              <w:t>ע"י עו"ד רוברט ליכט פטרן</w:t>
            </w:r>
          </w:p>
        </w:tc>
      </w:tr>
      <w:tr w:rsidR="00965854" w:rsidTr="00965854">
        <w:trPr>
          <w:jc w:val="center"/>
        </w:trPr>
        <w:tc>
          <w:tcPr>
            <w:tcW w:w="8505" w:type="dxa"/>
            <w:gridSpan w:val="2"/>
          </w:tcPr>
          <w:p w:rsidR="00965854" w:rsidRDefault="00965854">
            <w:pPr>
              <w:bidi w:val="0"/>
              <w:jc w:val="center"/>
              <w:rPr>
                <w:rFonts w:ascii="David" w:hAnsi="David"/>
                <w:b/>
                <w:bCs/>
                <w:noProof w:val="0"/>
                <w:u w:val="single"/>
                <w:rtl/>
              </w:rPr>
            </w:pPr>
          </w:p>
          <w:p w:rsidR="00965854" w:rsidRDefault="00965854">
            <w:pPr>
              <w:bidi w:val="0"/>
              <w:jc w:val="center"/>
              <w:rPr>
                <w:rFonts w:ascii="David" w:hAnsi="David"/>
                <w:b/>
                <w:bCs/>
                <w:noProof w:val="0"/>
                <w:u w:val="single"/>
                <w:rtl/>
              </w:rPr>
            </w:pPr>
          </w:p>
          <w:p w:rsidR="00965854" w:rsidRDefault="00965854">
            <w:pPr>
              <w:bidi w:val="0"/>
              <w:jc w:val="center"/>
              <w:rPr>
                <w:rFonts w:ascii="David" w:hAnsi="David"/>
                <w:b/>
                <w:bCs/>
                <w:noProof w:val="0"/>
                <w:u w:val="single"/>
              </w:rPr>
            </w:pPr>
          </w:p>
          <w:p w:rsidR="00965854" w:rsidRDefault="00965854">
            <w:pPr>
              <w:bidi w:val="0"/>
              <w:jc w:val="center"/>
              <w:rPr>
                <w:rFonts w:ascii="Arial" w:hAnsi="Arial"/>
                <w:b/>
                <w:bCs/>
                <w:noProof w:val="0"/>
                <w:sz w:val="28"/>
                <w:szCs w:val="28"/>
                <w:u w:val="single"/>
                <w:rtl/>
              </w:rPr>
            </w:pPr>
            <w:r>
              <w:rPr>
                <w:rFonts w:ascii="Arial" w:hAnsi="Arial"/>
                <w:b/>
                <w:bCs/>
                <w:noProof w:val="0"/>
                <w:sz w:val="34"/>
                <w:szCs w:val="34"/>
                <w:u w:val="single"/>
                <w:rtl/>
              </w:rPr>
              <w:t>החלטה</w:t>
            </w:r>
          </w:p>
        </w:tc>
      </w:tr>
    </w:tbl>
    <w:p w:rsidR="00965854" w:rsidRDefault="00965854" w:rsidP="00965854">
      <w:pPr>
        <w:spacing w:line="360" w:lineRule="auto"/>
        <w:jc w:val="both"/>
        <w:rPr>
          <w:rFonts w:ascii="Arial" w:hAnsi="Arial"/>
          <w:noProof w:val="0"/>
          <w:sz w:val="20"/>
          <w:szCs w:val="20"/>
        </w:rPr>
      </w:pPr>
    </w:p>
    <w:p w:rsidR="00965854" w:rsidRDefault="00965854" w:rsidP="00965854">
      <w:pPr>
        <w:spacing w:line="360" w:lineRule="auto"/>
        <w:jc w:val="both"/>
        <w:rPr>
          <w:rFonts w:ascii="Arial" w:hAnsi="Arial"/>
          <w:noProof w:val="0"/>
          <w:rtl/>
        </w:rPr>
      </w:pPr>
      <w:r>
        <w:rPr>
          <w:rFonts w:ascii="Arial" w:hAnsi="Arial"/>
          <w:noProof w:val="0"/>
          <w:rtl/>
        </w:rPr>
        <w:t>1.</w:t>
      </w:r>
      <w:r>
        <w:rPr>
          <w:rFonts w:ascii="Arial" w:hAnsi="Arial"/>
          <w:noProof w:val="0"/>
          <w:rtl/>
        </w:rPr>
        <w:tab/>
        <w:t>המבקשת והמשיב (יחד להלן 'הצדדים') הם בני זוג לשעבר והורים לשלושה קטינים. הצדדים החליטו להיפרד אך הוסיפו להתגורר תחת קורת גג אחת ולהתנהל באמצעות חשבון בנק משותף במשך חודשים ארוכים לאחר מכן. ביום 10.8.2023 שני הצדדים הגישו בקשות ליישוב סכסוך, אך לא עלה בידיהם לגבש הסכמות.</w:t>
      </w:r>
    </w:p>
    <w:p w:rsidR="00965854" w:rsidRDefault="00965854" w:rsidP="00965854">
      <w:pPr>
        <w:spacing w:line="360" w:lineRule="auto"/>
        <w:jc w:val="both"/>
        <w:rPr>
          <w:rFonts w:ascii="Arial" w:hAnsi="Arial"/>
          <w:noProof w:val="0"/>
        </w:rPr>
      </w:pPr>
    </w:p>
    <w:p w:rsidR="00965854" w:rsidRDefault="00965854" w:rsidP="00965854">
      <w:pPr>
        <w:spacing w:line="360" w:lineRule="auto"/>
        <w:jc w:val="both"/>
        <w:rPr>
          <w:rFonts w:ascii="Arial" w:hAnsi="Arial"/>
          <w:noProof w:val="0"/>
          <w:rtl/>
        </w:rPr>
      </w:pPr>
      <w:r>
        <w:rPr>
          <w:rFonts w:ascii="Arial" w:hAnsi="Arial"/>
          <w:noProof w:val="0"/>
          <w:rtl/>
        </w:rPr>
        <w:t>2.</w:t>
      </w:r>
      <w:r>
        <w:rPr>
          <w:rFonts w:ascii="Arial" w:hAnsi="Arial"/>
          <w:noProof w:val="0"/>
          <w:rtl/>
        </w:rPr>
        <w:tab/>
        <w:t>בחודש נובמבר 2023 המשיב הגיש שלוש תביעות: תביעה לאחריות הורית משותפת ולזמני שהות שוויוניים, תביעה לפסיקת מזונות הקטינים בגדרה עתר שכל אחד מהצדדים יישא בצרכי הקטינים כשהם שוהים עמו והמבקשת תשלם לו מחצית ממדור הקטינים, ותביעה לאיזון משאבים בגדרה עתר להצהיר על שיתוף ספציפי בנכסים שהמבקשת ירשה או קיבלה במתנה, ובנכס שהזכויות בו רשומות על שם אמה של המבקשת.</w:t>
      </w:r>
    </w:p>
    <w:p w:rsidR="00965854" w:rsidRDefault="00965854" w:rsidP="00965854">
      <w:pPr>
        <w:spacing w:line="360" w:lineRule="auto"/>
        <w:jc w:val="both"/>
        <w:rPr>
          <w:rFonts w:ascii="Arial" w:hAnsi="Arial"/>
          <w:noProof w:val="0"/>
          <w:rtl/>
        </w:rPr>
      </w:pPr>
    </w:p>
    <w:p w:rsidR="00965854" w:rsidRDefault="00965854" w:rsidP="00965854">
      <w:pPr>
        <w:spacing w:line="360" w:lineRule="auto"/>
        <w:jc w:val="both"/>
        <w:rPr>
          <w:rFonts w:ascii="Arial" w:hAnsi="Arial"/>
          <w:noProof w:val="0"/>
          <w:rtl/>
        </w:rPr>
      </w:pPr>
      <w:r>
        <w:rPr>
          <w:rFonts w:ascii="Arial" w:hAnsi="Arial"/>
          <w:noProof w:val="0"/>
          <w:rtl/>
        </w:rPr>
        <w:t>3.</w:t>
      </w:r>
      <w:r>
        <w:rPr>
          <w:rFonts w:ascii="Arial" w:hAnsi="Arial"/>
          <w:noProof w:val="0"/>
          <w:rtl/>
        </w:rPr>
        <w:tab/>
        <w:t>בחודש ינואר 2024 המבקשת הגישה שתי תביעות: תביעה לפסיקת מזונות הקטינים ותביעה לאיזון משאבים בגדרה עתרה, בין היתר, להורות על חלוקה לא שוויונית של הזכויות בדירת מגורי הצדדים, משום השקעה לא שוויונית.</w:t>
      </w:r>
    </w:p>
    <w:p w:rsidR="00965854" w:rsidRDefault="00965854" w:rsidP="00965854">
      <w:pPr>
        <w:spacing w:line="360" w:lineRule="auto"/>
        <w:jc w:val="both"/>
        <w:rPr>
          <w:rFonts w:ascii="Arial" w:hAnsi="Arial"/>
          <w:noProof w:val="0"/>
          <w:rtl/>
        </w:rPr>
      </w:pPr>
    </w:p>
    <w:p w:rsidR="00965854" w:rsidRDefault="00965854" w:rsidP="00965854">
      <w:pPr>
        <w:spacing w:line="360" w:lineRule="auto"/>
        <w:jc w:val="both"/>
        <w:rPr>
          <w:rFonts w:ascii="Arial" w:hAnsi="Arial"/>
          <w:noProof w:val="0"/>
          <w:rtl/>
        </w:rPr>
      </w:pPr>
      <w:r>
        <w:rPr>
          <w:rFonts w:ascii="Arial" w:hAnsi="Arial"/>
          <w:noProof w:val="0"/>
          <w:rtl/>
        </w:rPr>
        <w:t>4.</w:t>
      </w:r>
      <w:r>
        <w:rPr>
          <w:rFonts w:ascii="Arial" w:hAnsi="Arial"/>
          <w:noProof w:val="0"/>
          <w:rtl/>
        </w:rPr>
        <w:tab/>
        <w:t xml:space="preserve">ביום 25.2.2924 נפסקו מזונות זמניים, כל עוד הצדדים מתגוררים </w:t>
      </w:r>
      <w:r w:rsidR="00A7089E">
        <w:rPr>
          <w:rFonts w:ascii="Arial" w:hAnsi="Arial" w:hint="cs"/>
          <w:noProof w:val="0"/>
          <w:rtl/>
        </w:rPr>
        <w:t>ת</w:t>
      </w:r>
      <w:r>
        <w:rPr>
          <w:rFonts w:ascii="Arial" w:hAnsi="Arial"/>
          <w:noProof w:val="0"/>
          <w:rtl/>
        </w:rPr>
        <w:t xml:space="preserve">חת קורת גג אחת. טרם מתן החלטה בית המשפט נדרש למחלוקות בין הצדדים אפילו ביחס להארכת מועד להגשת התשובה. בפסקה 18 להחלטה האמורה נקבע כך: </w:t>
      </w:r>
      <w:r>
        <w:rPr>
          <w:rFonts w:ascii="Arial" w:hAnsi="Arial"/>
          <w:i/>
          <w:iCs/>
          <w:noProof w:val="0"/>
          <w:rtl/>
        </w:rPr>
        <w:t>"התנהלות שני הצדדים שהכמינו מידע שהיה עליהם לגלות מבלי שבית המשפט יורה להם לצרפו, ולא דייקו, בלשון עדינה, בחלק מהנתונים שהציגו, מצדיקה חיובם בהוצאות לטובת אוצר המדינה. לפנים משורת הדין לא יעשה כעת צו לחיובם"</w:t>
      </w:r>
      <w:r>
        <w:rPr>
          <w:rFonts w:ascii="Arial" w:hAnsi="Arial"/>
          <w:noProof w:val="0"/>
          <w:rtl/>
        </w:rPr>
        <w:t>.</w:t>
      </w:r>
    </w:p>
    <w:p w:rsidR="00965854" w:rsidRDefault="00965854" w:rsidP="00965854">
      <w:pPr>
        <w:spacing w:line="360" w:lineRule="auto"/>
        <w:jc w:val="both"/>
        <w:rPr>
          <w:rFonts w:ascii="Arial" w:hAnsi="Arial"/>
          <w:noProof w:val="0"/>
        </w:rPr>
      </w:pPr>
    </w:p>
    <w:p w:rsidR="00965854" w:rsidRDefault="00965854" w:rsidP="00965854">
      <w:pPr>
        <w:spacing w:line="360" w:lineRule="auto"/>
        <w:jc w:val="both"/>
        <w:rPr>
          <w:noProof w:val="0"/>
          <w:rtl/>
        </w:rPr>
      </w:pPr>
      <w:r>
        <w:rPr>
          <w:rFonts w:ascii="Arial" w:hAnsi="Arial"/>
          <w:noProof w:val="0"/>
          <w:rtl/>
        </w:rPr>
        <w:t>5.</w:t>
      </w:r>
      <w:r>
        <w:rPr>
          <w:rFonts w:ascii="Arial" w:hAnsi="Arial"/>
          <w:noProof w:val="0"/>
          <w:rtl/>
        </w:rPr>
        <w:tab/>
        <w:t>קדם משפט התקיים ביום 3.4.2024. בית המשפט הקדיש כמעט שעה ומחצה לדיון זה והצדדים קידמו הסכמות רבות, ובכללן פניה לתיאום הורי. עוד הוסכם שכל צד ימציא למשנהו את רשימת המסמכים שהוא מבקש לחשוף, ו</w:t>
      </w:r>
      <w:r>
        <w:rPr>
          <w:rFonts w:ascii="Arial" w:hAnsi="Arial"/>
          <w:i/>
          <w:iCs/>
          <w:noProof w:val="0"/>
          <w:rtl/>
        </w:rPr>
        <w:t>"</w:t>
      </w:r>
      <w:r>
        <w:rPr>
          <w:i/>
          <w:iCs/>
          <w:rtl/>
        </w:rPr>
        <w:t>לאחר שייחשפו המסמכים וכל צד יבחן אותם, אם יהיה צורך במינוי מומחים הם ימונו בהתאם להסכמה או שקודם לכן הצדדים יפנו להליך גישור"</w:t>
      </w:r>
      <w:r>
        <w:rPr>
          <w:rtl/>
        </w:rPr>
        <w:t>.</w:t>
      </w:r>
    </w:p>
    <w:p w:rsidR="00965854" w:rsidRDefault="00965854" w:rsidP="00965854">
      <w:pPr>
        <w:spacing w:line="360" w:lineRule="auto"/>
        <w:jc w:val="both"/>
        <w:rPr>
          <w:rFonts w:ascii="Arial" w:hAnsi="Arial"/>
          <w:noProof w:val="0"/>
        </w:rPr>
      </w:pPr>
    </w:p>
    <w:p w:rsidR="00965854" w:rsidRDefault="00965854" w:rsidP="00965854">
      <w:pPr>
        <w:spacing w:line="360" w:lineRule="auto"/>
        <w:jc w:val="both"/>
        <w:rPr>
          <w:rFonts w:ascii="Arial" w:hAnsi="Arial"/>
          <w:noProof w:val="0"/>
          <w:rtl/>
        </w:rPr>
      </w:pPr>
      <w:r>
        <w:rPr>
          <w:rFonts w:ascii="Arial" w:hAnsi="Arial"/>
          <w:noProof w:val="0"/>
          <w:rtl/>
        </w:rPr>
        <w:t>6.</w:t>
      </w:r>
      <w:r>
        <w:rPr>
          <w:rFonts w:ascii="Arial" w:hAnsi="Arial"/>
          <w:noProof w:val="0"/>
          <w:rtl/>
        </w:rPr>
        <w:tab/>
        <w:t>בחלוף ארבעה ימים המבקשת הגישה לתיק בית המשפט את רשימת המסמכים שהיא מבקשת לחשוף ובית המשפט הורה שהצדדים יפעלו בהתאם להסכמה שגיבשו בדיון. לאחר כחודש התעוררה בין הצדדים מחלוקת בעניין סודיות המסמכים שחשיפתם התבקשה, ובהחלטה מיום 4.6.2024 נקבע כך:</w:t>
      </w:r>
    </w:p>
    <w:p w:rsidR="00965854" w:rsidRDefault="00965854" w:rsidP="00965854">
      <w:pPr>
        <w:spacing w:before="60" w:line="360" w:lineRule="auto"/>
        <w:ind w:left="113" w:right="113"/>
        <w:jc w:val="both"/>
        <w:rPr>
          <w:rFonts w:ascii="Arial" w:hAnsi="Arial"/>
          <w:i/>
          <w:iCs/>
          <w:noProof w:val="0"/>
          <w:rtl/>
        </w:rPr>
      </w:pPr>
      <w:r>
        <w:rPr>
          <w:rFonts w:ascii="Arial" w:hAnsi="Arial"/>
          <w:i/>
          <w:iCs/>
          <w:noProof w:val="0"/>
          <w:rtl/>
        </w:rPr>
        <w:t>"המבקשת עתרה להורות למשיב להמציא מסמכים. בטרם ניתנה החלטה כלשהיא המשיב השיב לבקשה, משל תשובתו התבקשה והמבקשת הגדילה והגישה בקשה להתיר לה להגיש תגובה לתשובה, וכללה בה את התגובה וכן 'עדכון' וצירפה לא פחות מ- 260 עמודי נספחים. וכל זאת בזמן שהצדדים ביקשו לשקול פניה להליך גישור.</w:t>
      </w:r>
    </w:p>
    <w:p w:rsidR="00965854" w:rsidRDefault="00965854" w:rsidP="00965854">
      <w:pPr>
        <w:spacing w:before="60" w:line="360" w:lineRule="auto"/>
        <w:ind w:left="113" w:right="113"/>
        <w:jc w:val="both"/>
        <w:rPr>
          <w:rFonts w:ascii="Arial" w:hAnsi="Arial"/>
          <w:i/>
          <w:iCs/>
          <w:noProof w:val="0"/>
          <w:rtl/>
        </w:rPr>
      </w:pPr>
      <w:r>
        <w:rPr>
          <w:rFonts w:ascii="Arial" w:hAnsi="Arial"/>
          <w:i/>
          <w:iCs/>
          <w:noProof w:val="0"/>
          <w:rtl/>
        </w:rPr>
        <w:t xml:space="preserve">ובכן, בית המשפט אינו גנון. אף שהצדדים מיוצגים על ידי מיטב עורכי הדין בתחום, שללא ספק יכולים לקדם הסכמה בעניין חובת הסודיות של המסמכים, הם מבכרים הכרעה שיפוטית גם בכך. </w:t>
      </w:r>
    </w:p>
    <w:p w:rsidR="00965854" w:rsidRDefault="00965854" w:rsidP="00965854">
      <w:pPr>
        <w:spacing w:before="60" w:line="360" w:lineRule="auto"/>
        <w:ind w:left="113" w:right="113"/>
        <w:jc w:val="both"/>
        <w:rPr>
          <w:rFonts w:ascii="Arial" w:hAnsi="Arial"/>
          <w:i/>
          <w:iCs/>
          <w:noProof w:val="0"/>
          <w:rtl/>
        </w:rPr>
      </w:pPr>
      <w:r>
        <w:rPr>
          <w:rFonts w:ascii="Arial" w:hAnsi="Arial"/>
          <w:i/>
          <w:iCs/>
          <w:noProof w:val="0"/>
          <w:rtl/>
        </w:rPr>
        <w:t>מעת שהצדדים חפצים בהתדיינות המשפטית, ההליכים יבוררו כסדרם. נקבע קדם משפט ליום 18.9.2024 בשעה 10:00.</w:t>
      </w:r>
    </w:p>
    <w:p w:rsidR="00965854" w:rsidRDefault="00965854" w:rsidP="00965854">
      <w:pPr>
        <w:spacing w:before="60" w:line="360" w:lineRule="auto"/>
        <w:ind w:left="113" w:right="113"/>
        <w:jc w:val="both"/>
        <w:rPr>
          <w:rFonts w:ascii="Arial" w:hAnsi="Arial"/>
          <w:i/>
          <w:iCs/>
          <w:noProof w:val="0"/>
          <w:rtl/>
        </w:rPr>
      </w:pPr>
      <w:r>
        <w:rPr>
          <w:rFonts w:ascii="Arial" w:hAnsi="Arial"/>
          <w:i/>
          <w:iCs/>
          <w:noProof w:val="0"/>
          <w:rtl/>
        </w:rPr>
        <w:t>כלל הטענות ייבחנו בדיון, ויוכרעו לאחר שמיעת הצדדים. עם הכרעה בטענות הצדדים ייפסקו הוצאות – כפי מצוות התקנות".</w:t>
      </w:r>
    </w:p>
    <w:p w:rsidR="00965854" w:rsidRDefault="00965854" w:rsidP="00965854">
      <w:pPr>
        <w:spacing w:line="360" w:lineRule="auto"/>
        <w:jc w:val="both"/>
        <w:rPr>
          <w:rFonts w:ascii="Arial" w:hAnsi="Arial"/>
          <w:noProof w:val="0"/>
          <w:rtl/>
        </w:rPr>
      </w:pPr>
    </w:p>
    <w:p w:rsidR="00965854" w:rsidRDefault="00965854" w:rsidP="00965854">
      <w:pPr>
        <w:spacing w:line="360" w:lineRule="auto"/>
        <w:jc w:val="both"/>
        <w:rPr>
          <w:rFonts w:ascii="Arial" w:hAnsi="Arial"/>
          <w:noProof w:val="0"/>
          <w:rtl/>
        </w:rPr>
      </w:pPr>
      <w:r>
        <w:rPr>
          <w:rFonts w:ascii="Arial" w:hAnsi="Arial"/>
          <w:noProof w:val="0"/>
          <w:rtl/>
        </w:rPr>
        <w:t>7.</w:t>
      </w:r>
      <w:r>
        <w:rPr>
          <w:rFonts w:ascii="Arial" w:hAnsi="Arial"/>
          <w:noProof w:val="0"/>
          <w:rtl/>
        </w:rPr>
        <w:tab/>
        <w:t>לאחר מספר ימים המבקשת הגישה "בקשה דחופה" לפסיקת מזונות זמניים נוכח הפרדת המגורים למעלה מחודשיים קודם לכן. מיד לאחר שהמשיב הגיש תשובה המבקשת ביקשה להתיר לה להגיש תגובה לתשובה ובקשתה נעתרה. עובר להגשת התגובה המבקשת גם עתרה להורות למשיב להמציא את הסכם ההעסקה שלו וכן עותק מהסכם השכירות של הדירה ששכר למגוריו ללא השחרת שמה של המשכירה. בקשות אלה גררו בליץ תשובות, תגובות והודעות שלא התבקשו, והצריכו לא פחות משלוש עשרה החלטות בשבועיים הראשונים של פגרת בית המשפט. הצדדים התכתשו גם ביחס למחיקת שמה של בעלת הדירה בהסכם השכירות שהמשיב הציג - משל ניתנה למשיב רשות להשחיר את שמה, אך מנגד משל יש רלוונטיות לחשיפת שמה של בעלת הדירה בשלב זה של ההליך כאשר שמיעת הראיות אינה נראית באופק, ובפועל אין מחלוקת שהמשיב מתגורר בשכירות בדירה המפורטת בהסכם.</w:t>
      </w:r>
    </w:p>
    <w:p w:rsidR="00965854" w:rsidRDefault="00965854" w:rsidP="00965854">
      <w:pPr>
        <w:spacing w:line="360" w:lineRule="auto"/>
        <w:jc w:val="both"/>
        <w:rPr>
          <w:rFonts w:ascii="Arial" w:hAnsi="Arial"/>
          <w:noProof w:val="0"/>
          <w:rtl/>
        </w:rPr>
      </w:pPr>
    </w:p>
    <w:p w:rsidR="00965854" w:rsidRDefault="00965854" w:rsidP="00965854">
      <w:pPr>
        <w:spacing w:line="360" w:lineRule="auto"/>
        <w:jc w:val="both"/>
        <w:rPr>
          <w:rFonts w:ascii="Arial" w:hAnsi="Arial"/>
          <w:noProof w:val="0"/>
          <w:rtl/>
        </w:rPr>
      </w:pPr>
      <w:r>
        <w:rPr>
          <w:rFonts w:ascii="Arial" w:hAnsi="Arial"/>
          <w:noProof w:val="0"/>
          <w:rtl/>
        </w:rPr>
        <w:t>8.</w:t>
      </w:r>
      <w:r>
        <w:rPr>
          <w:rFonts w:ascii="Arial" w:hAnsi="Arial"/>
          <w:noProof w:val="0"/>
          <w:rtl/>
        </w:rPr>
        <w:tab/>
        <w:t xml:space="preserve">בית המשפט הבהיר פעם אחר פעם שהתנהלות הצדדים חורגת מהסביר והתרה טרם חיובם בהוצאות, לרבות לטובת אוצר המדינה. בשנים עשר הימים שחלפו מתחילת הפגרה ניתנו ההחלטות הבאות: </w:t>
      </w:r>
      <w:r>
        <w:rPr>
          <w:rFonts w:ascii="Arial" w:hAnsi="Arial"/>
          <w:i/>
          <w:iCs/>
          <w:noProof w:val="0"/>
          <w:rtl/>
        </w:rPr>
        <w:t>"התנהלות הצדדים מוגזמת ומכבידה מאוד על עבודת בית המשפט"</w:t>
      </w:r>
      <w:r>
        <w:rPr>
          <w:rFonts w:ascii="Arial" w:hAnsi="Arial"/>
          <w:noProof w:val="0"/>
          <w:rtl/>
        </w:rPr>
        <w:t xml:space="preserve">; </w:t>
      </w:r>
      <w:r>
        <w:rPr>
          <w:rFonts w:ascii="Arial" w:hAnsi="Arial"/>
          <w:i/>
          <w:iCs/>
          <w:noProof w:val="0"/>
          <w:rtl/>
        </w:rPr>
        <w:t>"לאור התנהלות הצדדים אין מנוס מפסיקת הוצאות, בין לטובת מי מהם ובין לטובת אוצר המדינה"</w:t>
      </w:r>
      <w:r>
        <w:rPr>
          <w:rFonts w:ascii="Arial" w:hAnsi="Arial"/>
          <w:noProof w:val="0"/>
          <w:rtl/>
        </w:rPr>
        <w:t xml:space="preserve">; </w:t>
      </w:r>
      <w:r>
        <w:rPr>
          <w:rFonts w:ascii="Arial" w:hAnsi="Arial"/>
          <w:i/>
          <w:iCs/>
          <w:noProof w:val="0"/>
          <w:rtl/>
        </w:rPr>
        <w:t>"התנהלות הצדדים חורגת מאוד מהסביר"</w:t>
      </w:r>
      <w:r>
        <w:rPr>
          <w:rFonts w:ascii="Arial" w:hAnsi="Arial"/>
          <w:noProof w:val="0"/>
          <w:rtl/>
        </w:rPr>
        <w:t xml:space="preserve">; </w:t>
      </w:r>
      <w:r>
        <w:rPr>
          <w:rFonts w:ascii="Arial" w:hAnsi="Arial"/>
          <w:i/>
          <w:iCs/>
          <w:noProof w:val="0"/>
          <w:rtl/>
        </w:rPr>
        <w:t>"אניח שאין מדובר בהתחכמות. יש להגיש התחייבות מאומתת כדין"</w:t>
      </w:r>
      <w:r>
        <w:rPr>
          <w:rFonts w:ascii="Arial" w:hAnsi="Arial"/>
          <w:noProof w:val="0"/>
          <w:rtl/>
        </w:rPr>
        <w:t xml:space="preserve">; </w:t>
      </w:r>
      <w:r>
        <w:rPr>
          <w:rFonts w:ascii="Arial" w:hAnsi="Arial"/>
          <w:i/>
          <w:iCs/>
          <w:noProof w:val="0"/>
          <w:rtl/>
        </w:rPr>
        <w:t>"זו ההחלטה התשיעית שבית המשפט נדרש ליתן רק בהליך זה מאז החלה הפגרה"</w:t>
      </w:r>
      <w:r>
        <w:rPr>
          <w:rFonts w:ascii="Arial" w:hAnsi="Arial"/>
          <w:noProof w:val="0"/>
          <w:rtl/>
        </w:rPr>
        <w:t xml:space="preserve">; </w:t>
      </w:r>
      <w:r>
        <w:rPr>
          <w:rFonts w:ascii="Arial" w:hAnsi="Arial"/>
          <w:i/>
          <w:iCs/>
          <w:noProof w:val="0"/>
          <w:rtl/>
        </w:rPr>
        <w:t>"לא התבקשה תשובה ולא ניתנה רשות להגשתה. הגשת תשובה נוספת שלא תתבקש תגרור חיוב בהוצאות לטובת אוצר המדינה"</w:t>
      </w:r>
      <w:r>
        <w:rPr>
          <w:rFonts w:ascii="Arial" w:hAnsi="Arial"/>
          <w:noProof w:val="0"/>
          <w:rtl/>
        </w:rPr>
        <w:t xml:space="preserve">. </w:t>
      </w:r>
    </w:p>
    <w:p w:rsidR="00965854" w:rsidRDefault="00965854" w:rsidP="00965854">
      <w:pPr>
        <w:spacing w:line="360" w:lineRule="auto"/>
        <w:jc w:val="both"/>
        <w:rPr>
          <w:rFonts w:ascii="David" w:hAnsi="David"/>
          <w:noProof w:val="0"/>
          <w:rtl/>
        </w:rPr>
      </w:pPr>
    </w:p>
    <w:p w:rsidR="00965854" w:rsidRDefault="00965854" w:rsidP="007A2F62">
      <w:pPr>
        <w:tabs>
          <w:tab w:val="left" w:pos="720"/>
          <w:tab w:val="left" w:pos="1440"/>
          <w:tab w:val="left" w:pos="2160"/>
          <w:tab w:val="left" w:pos="2880"/>
          <w:tab w:val="left" w:pos="3600"/>
          <w:tab w:val="left" w:pos="4320"/>
          <w:tab w:val="left" w:pos="5040"/>
          <w:tab w:val="left" w:pos="5760"/>
          <w:tab w:val="left" w:pos="6720"/>
        </w:tabs>
        <w:spacing w:line="360" w:lineRule="auto"/>
        <w:jc w:val="both"/>
        <w:rPr>
          <w:rFonts w:ascii="Arial" w:hAnsi="Arial"/>
          <w:noProof w:val="0"/>
          <w:rtl/>
        </w:rPr>
      </w:pPr>
      <w:r>
        <w:rPr>
          <w:rFonts w:ascii="David" w:hAnsi="David"/>
          <w:noProof w:val="0"/>
          <w:rtl/>
        </w:rPr>
        <w:t>9.</w:t>
      </w:r>
      <w:r>
        <w:rPr>
          <w:rFonts w:ascii="David" w:hAnsi="David"/>
          <w:noProof w:val="0"/>
          <w:rtl/>
        </w:rPr>
        <w:tab/>
      </w:r>
      <w:r>
        <w:rPr>
          <w:rFonts w:ascii="Arial" w:hAnsi="Arial"/>
          <w:i/>
          <w:iCs/>
          <w:noProof w:val="0"/>
          <w:rtl/>
        </w:rPr>
        <w:t>"גם מימוש זכות דיונית צריך להיעשות על-פי עקרון המידתיות, במידה שאינה עולה על הנדרש במכלול הנסיבות"</w:t>
      </w:r>
      <w:r>
        <w:rPr>
          <w:rFonts w:ascii="David" w:hAnsi="David"/>
          <w:i/>
          <w:iCs/>
          <w:color w:val="000000"/>
          <w:spacing w:val="10"/>
          <w:shd w:val="clear" w:color="auto" w:fill="FFFFFF"/>
          <w:rtl/>
        </w:rPr>
        <w:t xml:space="preserve"> </w:t>
      </w:r>
      <w:r>
        <w:rPr>
          <w:rFonts w:ascii="David" w:hAnsi="David"/>
          <w:noProof w:val="0"/>
          <w:rtl/>
        </w:rPr>
        <w:t xml:space="preserve">(רע"א 646/14 </w:t>
      </w:r>
      <w:r>
        <w:rPr>
          <w:rFonts w:ascii="David" w:hAnsi="David"/>
          <w:b/>
          <w:bCs/>
          <w:color w:val="000000"/>
          <w:shd w:val="clear" w:color="auto" w:fill="FFFFFF"/>
          <w:rtl/>
        </w:rPr>
        <w:t>אשטרום חברת קבלנות בע"מ נ' ניו קופל בע"מ</w:t>
      </w:r>
      <w:r>
        <w:rPr>
          <w:rFonts w:ascii="David" w:hAnsi="David"/>
          <w:noProof w:val="0"/>
          <w:rtl/>
        </w:rPr>
        <w:t xml:space="preserve"> (8.5.2014)).</w:t>
      </w:r>
      <w:r>
        <w:rPr>
          <w:rFonts w:ascii="Arial" w:hAnsi="Arial"/>
          <w:noProof w:val="0"/>
          <w:rtl/>
        </w:rPr>
        <w:t xml:space="preserve"> </w:t>
      </w:r>
      <w:r>
        <w:rPr>
          <w:rFonts w:ascii="Arial" w:hAnsi="Arial"/>
          <w:i/>
          <w:iCs/>
          <w:noProof w:val="0"/>
          <w:rtl/>
        </w:rPr>
        <w:t>"כוחם של דברים אלה יפה עוד יותר כיום, לאור עקרון המידתיות שמצא את מקומו בעקרונות היסוד של תקנות סדר הדין האזרחי, התשע"ט-2018.."</w:t>
      </w:r>
      <w:r>
        <w:rPr>
          <w:rFonts w:ascii="David" w:hAnsi="David"/>
          <w:color w:val="000000"/>
          <w:spacing w:val="10"/>
          <w:shd w:val="clear" w:color="auto" w:fill="FFFFFF"/>
          <w:rtl/>
        </w:rPr>
        <w:t xml:space="preserve"> (רע"א 4082/21 </w:t>
      </w:r>
      <w:r>
        <w:rPr>
          <w:rFonts w:ascii="David" w:hAnsi="David"/>
          <w:b/>
          <w:bCs/>
          <w:color w:val="000000"/>
          <w:spacing w:val="10"/>
          <w:shd w:val="clear" w:color="auto" w:fill="FFFFFF"/>
          <w:rtl/>
        </w:rPr>
        <w:t xml:space="preserve">עיריית אום אל פחם נ' מגדל חברה לביטוח בע"מ </w:t>
      </w:r>
      <w:r>
        <w:rPr>
          <w:rFonts w:ascii="David" w:hAnsi="David"/>
          <w:color w:val="000000"/>
          <w:spacing w:val="10"/>
          <w:shd w:val="clear" w:color="auto" w:fill="FFFFFF"/>
          <w:rtl/>
        </w:rPr>
        <w:t>(8.7.2021)).</w:t>
      </w:r>
      <w:r w:rsidR="007A2F62">
        <w:rPr>
          <w:rFonts w:ascii="David" w:hAnsi="David"/>
          <w:noProof w:val="0"/>
          <w:rtl/>
        </w:rPr>
        <w:t xml:space="preserve"> התנהלות</w:t>
      </w:r>
      <w:r>
        <w:rPr>
          <w:rFonts w:ascii="David" w:hAnsi="David"/>
          <w:noProof w:val="0"/>
          <w:rtl/>
        </w:rPr>
        <w:t xml:space="preserve"> </w:t>
      </w:r>
      <w:r w:rsidR="007A2F62">
        <w:rPr>
          <w:rFonts w:ascii="David" w:hAnsi="David" w:hint="cs"/>
          <w:noProof w:val="0"/>
          <w:rtl/>
        </w:rPr>
        <w:t xml:space="preserve">הצדדים </w:t>
      </w:r>
      <w:r>
        <w:rPr>
          <w:rFonts w:ascii="David" w:hAnsi="David"/>
          <w:noProof w:val="0"/>
          <w:rtl/>
        </w:rPr>
        <w:t>חרגה באופן ממשי מעיקרון המידתיות, השחיתה את זמנו של בית המשפט ופגעה במתדיינים אחרים. הצדדים הם עורכי</w:t>
      </w:r>
      <w:r>
        <w:rPr>
          <w:rFonts w:ascii="Arial" w:hAnsi="Arial"/>
          <w:noProof w:val="0"/>
          <w:rtl/>
        </w:rPr>
        <w:t xml:space="preserve"> דין בהשכלתם ומבינים היטב את משמעות ההתראות שניתנו פעם אחר פעם, אך לא חדלו מהתנהלותם הבלתי מידתית, </w:t>
      </w:r>
      <w:r w:rsidR="007A2F62">
        <w:rPr>
          <w:rFonts w:ascii="Arial" w:hAnsi="Arial" w:hint="cs"/>
          <w:noProof w:val="0"/>
          <w:rtl/>
        </w:rPr>
        <w:t>ומצער מאוד</w:t>
      </w:r>
      <w:r>
        <w:rPr>
          <w:rFonts w:ascii="Arial" w:hAnsi="Arial"/>
          <w:noProof w:val="0"/>
          <w:rtl/>
        </w:rPr>
        <w:t xml:space="preserve"> שגם באי כוחם נגררו לסכסוך. בנסיבות אלה יש הצדקה לחייב את הצדדים בהוצאות לטובת אוצר המדינה בשיעור משמעותי. לפנים משורת הדין שיעור ההוצאות ייפסק בשלב זה באופן מתון, מתוך תקווה שהתנהלות הצדדים לא תישנה. כל אחד מהצדדים יישא בהוצאות לטובת אוצר המדינה בסך 1,500 ש"ח.</w:t>
      </w:r>
    </w:p>
    <w:p w:rsidR="00965854" w:rsidRDefault="00965854" w:rsidP="00965854">
      <w:pPr>
        <w:spacing w:line="360" w:lineRule="auto"/>
        <w:jc w:val="both"/>
        <w:rPr>
          <w:rFonts w:ascii="Arial" w:hAnsi="Arial"/>
          <w:noProof w:val="0"/>
          <w:rtl/>
        </w:rPr>
      </w:pPr>
    </w:p>
    <w:p w:rsidR="00965854" w:rsidRDefault="00965854" w:rsidP="00965854">
      <w:pPr>
        <w:spacing w:line="360" w:lineRule="auto"/>
        <w:jc w:val="both"/>
        <w:rPr>
          <w:rFonts w:ascii="Arial" w:hAnsi="Arial"/>
          <w:noProof w:val="0"/>
          <w:rtl/>
        </w:rPr>
      </w:pPr>
      <w:r>
        <w:rPr>
          <w:rFonts w:ascii="Arial" w:hAnsi="Arial"/>
          <w:noProof w:val="0"/>
          <w:rtl/>
        </w:rPr>
        <w:t>10.</w:t>
      </w:r>
      <w:r>
        <w:rPr>
          <w:rFonts w:ascii="Arial" w:hAnsi="Arial"/>
          <w:noProof w:val="0"/>
          <w:rtl/>
        </w:rPr>
        <w:tab/>
        <w:t>ההחלטה מותרת לפרסום בהשמטת שמות הצדדים ופרטים מזהים.</w:t>
      </w:r>
    </w:p>
    <w:p w:rsidR="00965854" w:rsidRDefault="00965854" w:rsidP="00965854">
      <w:pPr>
        <w:spacing w:line="360" w:lineRule="auto"/>
        <w:jc w:val="both"/>
        <w:rPr>
          <w:rFonts w:ascii="Arial" w:hAnsi="Arial"/>
          <w:noProof w:val="0"/>
          <w:rtl/>
        </w:rPr>
      </w:pPr>
    </w:p>
    <w:p w:rsidR="002914D6" w:rsidRDefault="00011212" w:rsidP="00965854">
      <w:pPr>
        <w:spacing w:line="360" w:lineRule="auto"/>
        <w:jc w:val="both"/>
        <w:rPr>
          <w:rFonts w:ascii="Arial" w:hAnsi="Arial"/>
          <w:noProof w:val="0"/>
          <w:rtl/>
        </w:rPr>
      </w:pPr>
      <w:r>
        <w:rPr>
          <w:rFonts w:ascii="Arial" w:hAnsi="Arial"/>
          <w:noProof w:val="0"/>
          <w:rtl/>
        </w:rPr>
        <w:t>נית</w:t>
      </w:r>
      <w:r w:rsidR="00965854">
        <w:rPr>
          <w:rFonts w:ascii="Arial" w:hAnsi="Arial" w:hint="cs"/>
          <w:noProof w:val="0"/>
          <w:rtl/>
        </w:rPr>
        <w:t xml:space="preserve">נה </w:t>
      </w:r>
      <w:r>
        <w:rPr>
          <w:rFonts w:ascii="Arial" w:hAnsi="Arial"/>
          <w:noProof w:val="0"/>
          <w:rtl/>
        </w:rPr>
        <w:t xml:space="preserve">היום,  </w:t>
      </w:r>
      <w:sdt>
        <w:sdtPr>
          <w:rPr>
            <w:rtl/>
          </w:rPr>
          <w:alias w:val="1455"/>
          <w:tag w:val="1455"/>
          <w:id w:val="-181669360"/>
          <w:text w:multiLine="1"/>
        </w:sdtPr>
        <w:sdtEndPr/>
        <w:sdtContent>
          <w:r>
            <w:rPr>
              <w:rFonts w:ascii="Arial" w:hAnsi="Arial"/>
              <w:noProof w:val="0"/>
              <w:rtl/>
            </w:rPr>
            <w:t>כ"ו תמוז תשפ"ד</w:t>
          </w:r>
        </w:sdtContent>
      </w:sdt>
      <w:r>
        <w:rPr>
          <w:rFonts w:ascii="Arial" w:hAnsi="Arial"/>
          <w:noProof w:val="0"/>
          <w:rtl/>
        </w:rPr>
        <w:t xml:space="preserve">, </w:t>
      </w:r>
      <w:sdt>
        <w:sdtPr>
          <w:rPr>
            <w:rtl/>
          </w:rPr>
          <w:alias w:val="1456"/>
          <w:tag w:val="1456"/>
          <w:id w:val="-1091704228"/>
          <w:text w:multiLine="1"/>
        </w:sdtPr>
        <w:sdtEndPr/>
        <w:sdtContent>
          <w:r>
            <w:rPr>
              <w:rFonts w:ascii="Arial" w:hAnsi="Arial"/>
              <w:noProof w:val="0"/>
              <w:rtl/>
            </w:rPr>
            <w:t>01 אוגוסט 2024</w:t>
          </w:r>
        </w:sdtContent>
      </w:sdt>
      <w:r>
        <w:rPr>
          <w:rFonts w:ascii="Arial" w:hAnsi="Arial"/>
          <w:noProof w:val="0"/>
          <w:rtl/>
        </w:rPr>
        <w:t>, בהעדר הצדדים.</w:t>
      </w:r>
    </w:p>
    <w:p w:rsidR="002914D6" w:rsidRDefault="0025599D" w:rsidP="00965854">
      <w:pPr>
        <w:spacing w:line="360" w:lineRule="auto"/>
        <w:ind w:left="3600" w:firstLine="720"/>
        <w:jc w:val="both"/>
      </w:pPr>
      <w:sdt>
        <w:sdtPr>
          <w:rPr>
            <w:rtl/>
          </w:rPr>
          <w:alias w:val="MergeField"/>
          <w:tag w:val="1237"/>
          <w:id w:val="123212125"/>
        </w:sdtPr>
        <w:sdtEndPr/>
        <w:sdtContent>
          <w:r w:rsidR="006C0524">
            <w:drawing>
              <wp:inline distT="0" distB="0" distL="0" distR="0" wp14:editId="50D07946">
                <wp:extent cx="933450" cy="7334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933450" cy="733425"/>
                        </a:xfrm>
                        <a:prstGeom prst="rect">
                          <a:avLst/>
                        </a:prstGeom>
                      </pic:spPr>
                    </pic:pic>
                  </a:graphicData>
                </a:graphic>
              </wp:inline>
            </w:drawing>
          </w:r>
        </w:sdtContent>
      </w:sdt>
    </w:p>
    <w:p w:rsidR="002914D6" w:rsidRDefault="002914D6" w:rsidP="00965854">
      <w:pPr>
        <w:spacing w:line="360" w:lineRule="auto"/>
        <w:ind w:left="3600" w:firstLine="720"/>
        <w:jc w:val="both"/>
        <w:rPr>
          <w:rFonts w:ascii="Arial" w:hAnsi="Arial"/>
          <w:noProof w:val="0"/>
          <w:rtl/>
        </w:rPr>
      </w:pPr>
    </w:p>
    <w:sectPr w:rsidR="002914D6" w:rsidSect="002914D6">
      <w:headerReference w:type="default" r:id="rId9"/>
      <w:footerReference w:type="default" r:id="rId10"/>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599D" w:rsidRDefault="0025599D">
      <w:r>
        <w:separator/>
      </w:r>
    </w:p>
  </w:endnote>
  <w:endnote w:type="continuationSeparator" w:id="0">
    <w:p w:rsidR="0025599D" w:rsidRDefault="002559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65854" w:rsidRPr="00965854" w:rsidRDefault="00965854">
    <w:pPr>
      <w:pStyle w:val="a4"/>
      <w:jc w:val="center"/>
      <w:rPr>
        <w:rStyle w:val="ab"/>
        <w:sz w:val="22"/>
        <w:szCs w:val="22"/>
      </w:rPr>
    </w:pPr>
  </w:p>
  <w:p w:rsidR="002914D6" w:rsidRDefault="00242BA8">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BC6A42">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BC6A42">
      <w:rPr>
        <w:rStyle w:val="ab"/>
        <w:rtl/>
      </w:rPr>
      <w:t>3</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599D" w:rsidRDefault="0025599D">
      <w:r>
        <w:separator/>
      </w:r>
    </w:p>
  </w:footnote>
  <w:footnote w:type="continuationSeparator" w:id="0">
    <w:p w:rsidR="0025599D" w:rsidRDefault="002559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946045">
    <w:pPr>
      <w:pStyle w:val="a3"/>
      <w:jc w:val="center"/>
      <w:rPr>
        <w:rFonts w:cs="FrankRuehl"/>
        <w:noProof w:val="0"/>
        <w:sz w:val="28"/>
        <w:szCs w:val="28"/>
        <w:rtl/>
      </w:rPr>
    </w:pPr>
    <w:r>
      <w:rPr>
        <w:rFonts w:cs="FrankRuehl"/>
        <w:sz w:val="28"/>
        <w:szCs w:val="28"/>
      </w:rPr>
      <w:drawing>
        <wp:inline distT="0" distB="0" distL="0" distR="0">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1271863099"/>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25599D" w:rsidP="00A7089E">
          <w:pPr>
            <w:rPr>
              <w:rtl/>
            </w:rPr>
          </w:pPr>
          <w:sdt>
            <w:sdtPr>
              <w:rPr>
                <w:rtl/>
              </w:rPr>
              <w:alias w:val="1170"/>
              <w:tag w:val="1170"/>
              <w:id w:val="922609164"/>
              <w:text w:multiLine="1"/>
            </w:sdtPr>
            <w:sdtEndPr/>
            <w:sdtContent>
              <w:r w:rsidR="00094813">
                <w:rPr>
                  <w:b/>
                  <w:bCs/>
                  <w:noProof w:val="0"/>
                  <w:sz w:val="26"/>
                  <w:szCs w:val="26"/>
                  <w:rtl/>
                </w:rPr>
                <w:t>תלה"מ</w:t>
              </w:r>
            </w:sdtContent>
          </w:sdt>
          <w:r w:rsidR="00011212">
            <w:rPr>
              <w:b/>
              <w:bCs/>
              <w:noProof w:val="0"/>
              <w:sz w:val="26"/>
              <w:szCs w:val="26"/>
              <w:rtl/>
            </w:rPr>
            <w:t xml:space="preserve"> </w:t>
          </w:r>
          <w:sdt>
            <w:sdtPr>
              <w:rPr>
                <w:rtl/>
              </w:rPr>
              <w:alias w:val="1171"/>
              <w:tag w:val="1171"/>
              <w:id w:val="-1035651213"/>
              <w:text w:multiLine="1"/>
            </w:sdtPr>
            <w:sdtEndPr/>
            <w:sdtContent>
              <w:r w:rsidR="00094813">
                <w:rPr>
                  <w:b/>
                  <w:bCs/>
                  <w:noProof w:val="0"/>
                  <w:sz w:val="26"/>
                  <w:szCs w:val="26"/>
                  <w:rtl/>
                </w:rPr>
                <w:t>27197-01-24</w:t>
              </w:r>
            </w:sdtContent>
          </w:sdt>
          <w:r w:rsidR="00011212">
            <w:rPr>
              <w:b/>
              <w:bCs/>
              <w:noProof w:val="0"/>
              <w:sz w:val="26"/>
              <w:szCs w:val="26"/>
              <w:rtl/>
            </w:rPr>
            <w:t xml:space="preserve"> </w:t>
          </w:r>
          <w:sdt>
            <w:sdtPr>
              <w:rPr>
                <w:rtl/>
              </w:rPr>
              <w:alias w:val="1172"/>
              <w:tag w:val="1172"/>
              <w:id w:val="-1735694493"/>
              <w:text w:multiLine="1"/>
            </w:sdtPr>
            <w:sdtEndPr/>
            <w:sdtContent>
              <w:r w:rsidR="00A7089E">
                <w:rPr>
                  <w:rFonts w:hint="cs"/>
                  <w:b/>
                  <w:bCs/>
                  <w:noProof w:val="0"/>
                  <w:sz w:val="26"/>
                  <w:szCs w:val="26"/>
                  <w:rtl/>
                </w:rPr>
                <w:t xml:space="preserve">פלונית נ' פלוני </w:t>
              </w:r>
            </w:sdtContent>
          </w:sdt>
        </w:p>
        <w:p w:rsidR="00965854" w:rsidRDefault="00965854">
          <w:pPr>
            <w:rPr>
              <w:b/>
              <w:bCs/>
              <w:rtl/>
            </w:rPr>
          </w:pPr>
        </w:p>
        <w:p w:rsidR="00965854" w:rsidRPr="00965854" w:rsidRDefault="00965854">
          <w:pPr>
            <w:rPr>
              <w:b/>
              <w:bCs/>
              <w:sz w:val="26"/>
              <w:szCs w:val="26"/>
              <w:rtl/>
            </w:rPr>
          </w:pPr>
          <w:r w:rsidRPr="00965854">
            <w:rPr>
              <w:rFonts w:hint="cs"/>
              <w:b/>
              <w:bCs/>
              <w:sz w:val="26"/>
              <w:szCs w:val="26"/>
              <w:rtl/>
            </w:rPr>
            <w:t>לפני כב' השופטת קרן גיל</w:t>
          </w:r>
        </w:p>
        <w:p w:rsidR="00965854" w:rsidRPr="00965854" w:rsidRDefault="00965854" w:rsidP="00965854">
          <w:pPr>
            <w:jc w:val="right"/>
            <w:rPr>
              <w:b/>
              <w:bCs/>
              <w:sz w:val="26"/>
              <w:szCs w:val="26"/>
              <w:rtl/>
            </w:rPr>
          </w:pPr>
          <w:r w:rsidRPr="00965854">
            <w:rPr>
              <w:rFonts w:hint="cs"/>
              <w:b/>
              <w:bCs/>
              <w:sz w:val="26"/>
              <w:szCs w:val="26"/>
              <w:rtl/>
            </w:rPr>
            <w:t>1 אוגוסט 2024</w:t>
          </w:r>
        </w:p>
        <w:p w:rsidR="00965854" w:rsidRPr="00965854" w:rsidRDefault="00965854">
          <w:pPr>
            <w:rPr>
              <w:b/>
              <w:bCs/>
              <w:noProof w:val="0"/>
              <w:sz w:val="20"/>
              <w:szCs w:val="20"/>
              <w:rtl/>
            </w:rPr>
          </w:pPr>
        </w:p>
        <w:p w:rsidR="002914D6" w:rsidRDefault="002914D6">
          <w:pPr>
            <w:rPr>
              <w:rtl/>
            </w:rPr>
          </w:pPr>
        </w:p>
      </w:tc>
    </w:tr>
  </w:tbl>
  <w:p w:rsidR="002914D6" w:rsidRDefault="00011212">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0157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01573&amp;lt;/CaseID&amp;gt;_x000d__x000a_        &amp;lt;CaseMonth&amp;gt;1&amp;lt;/CaseMonth&amp;gt;_x000d__x000a_        &amp;lt;CaseYear&amp;gt;2024&amp;lt;/CaseYear&amp;gt;_x000d__x000a_        &amp;lt;CaseNumber&amp;gt;27197&amp;lt;/CaseNumber&amp;gt;_x000d__x000a_        &amp;lt;NumeratorGroupID&amp;gt;1&amp;lt;/NumeratorGroupID&amp;gt;_x000d__x000a_        &amp;lt;CaseName&amp;gt;אלתגר נ&amp;#39; אלתגר&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197-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4-01-11T10: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01573&amp;lt;/CaseID&amp;gt;_x000d__x000a_        &amp;lt;CaseMonth&amp;gt;1&amp;lt;/CaseMonth&amp;gt;_x000d__x000a_        &amp;lt;CaseYear&amp;gt;2024&amp;lt;/CaseYear&amp;gt;_x000d__x000a_        &amp;lt;CaseNumber&amp;gt;27197&amp;lt;/CaseNumber&amp;gt;_x000d__x000a_        &amp;lt;NumeratorGroupID&amp;gt;1&amp;lt;/NumeratorGroupID&amp;gt;_x000d__x000a_        &amp;lt;CaseName&amp;gt;אלתגר נ&amp;#39; אלתגר&amp;lt;/CaseName&amp;gt;_x000d__x000a_        &amp;lt;CourtID&amp;gt;33&amp;lt;/CourtID&amp;gt;_x000d__x000a_        &amp;lt;CaseTypeID&amp;gt;10262&amp;lt;/CaseTypeID&amp;gt;_x000d__x000a_        &amp;lt;CaseInterestID&amp;gt;10118&amp;lt;/CaseInterestID&amp;gt;_x000d__x000a_        &amp;lt;CaseJudgeName&amp;gt;קרן גיל&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27197-01-24&amp;lt;/CaseDisplayIdentifier&amp;gt;_x000d__x000a_        &amp;lt;CaseTypeDesc&amp;gt;תלה&amp;quot;מ&amp;lt;/CaseTypeDesc&amp;gt;_x000d__x000a_        &amp;lt;CourtDesc&amp;gt;ענייני משפחה במחוז ת&amp;quot;א&amp;lt;/CourtDesc&amp;gt;_x000d__x000a_        &amp;lt;CaseStageDesc&amp;gt;תיק אלקטרוני&amp;lt;/CaseStageDesc&amp;gt;_x000d__x000a_        &amp;lt;CaseNextDeterminingTask&amp;gt;140&amp;lt;/CaseNextDeterminingTask&amp;gt;_x000d__x000a_        &amp;lt;CaseOpenDate&amp;gt;2024-01-11T10:43: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קרן&amp;lt;/CaseJudgeFirstName&amp;gt;_x000d__x000a_        &amp;lt;CaseJudgeLastName&amp;gt;גיל&amp;lt;/CaseJudgeLastName&amp;gt;_x000d__x000a_        &amp;lt;JudicalPersonID&amp;gt;038331781@GOV.IL&amp;lt;/JudicalPersonID&amp;gt;_x000d__x000a_        &amp;lt;IsJudicalPanel&amp;gt;false&amp;lt;/IsJudicalPanel&amp;gt;_x000d__x000a_        &amp;lt;CourtDisplayName&amp;gt;בית משפט לענייני משפחה בתל אביב -יפו&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3176635&amp;lt;/DecisionID&amp;gt;_x000d__x000a_        &amp;lt;DecisionName&amp;gt;החלטה  שניתנה ע&amp;quot;י  קרן גיל&amp;lt;/DecisionName&amp;gt;_x000d__x000a_        &amp;lt;DecisionStatusID&amp;gt;1&amp;lt;/DecisionStatusID&amp;gt;_x000d__x000a_        &amp;lt;DecisionStatusChangeDate&amp;gt;2024-08-01T01:58:49.187+03:00&amp;lt;/DecisionStatusChangeDate&amp;gt;_x000d__x000a_        &amp;lt;DecisionSignatureDate&amp;gt;2024-08-01T01:56:11.083+03:00&amp;lt;/DecisionSignatureDate&amp;gt;_x000d__x000a_        &amp;lt;DecisionSignatureUserID&amp;gt;038331781@GOV.IL&amp;lt;/DecisionSignatureUserID&amp;gt;_x000d__x000a_        &amp;lt;DecisionCreateDate&amp;gt;2024-08-01T01:58:49.11+03:00&amp;lt;/DecisionCreateDate&amp;gt;_x000d__x000a_        &amp;lt;DecisionChangeDate&amp;gt;2024-08-01T01:58:49.42+03:00&amp;lt;/DecisionChangeDate&amp;gt;_x000d__x000a_        &amp;lt;DecisionChangeUserID&amp;gt;038331781@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0325666&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833178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8331781@GOV.IL&amp;lt;/DecisionCreationUserID&amp;gt;_x000d__x000a_        &amp;lt;DecisionDisplayName&amp;gt;החלטה  שניתנה ע&amp;quot;י  קרן גיל&amp;lt;/DecisionDisplayName&amp;gt;_x000d__x000a_        &amp;lt;IsScanned&amp;gt;false&amp;lt;/IsScanned&amp;gt;_x000d__x000a_        &amp;lt;DecisionSignatureUserName&amp;gt;קרן גיל&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31&amp;lt;/DecisionNumberInCase&amp;gt;_x000d__x000a_      &amp;lt;/dt_Decision&amp;gt;_x000d__x000a_      &amp;lt;dt_DecisionCase diffgr:id=&amp;quot;dt_DecisionCase1&amp;quot; msdata:rowOrder=&amp;quot;0&amp;quot;&amp;gt;_x000d__x000a_        &amp;lt;DecisionID&amp;gt;153176635&amp;lt;/DecisionID&amp;gt;_x000d__x000a_        &amp;lt;CaseID&amp;gt;80901573&amp;lt;/CaseID&amp;gt;_x000d__x000a_        &amp;lt;IsOriginal&amp;gt;true&amp;lt;/IsOriginal&amp;gt;_x000d__x000a_        &amp;lt;IsDeleted&amp;gt;false&amp;lt;/IsDeleted&amp;gt;_x000d__x000a_        &amp;lt;CaseName&amp;gt;אלתגר נ&amp;#39; אלתגר&amp;lt;/CaseName&amp;gt;_x000d__x000a_        &amp;lt;CaseDisplayIdentifier&amp;gt;27197-01-24 תלה&amp;quot;מ&amp;lt;/CaseDisplayIdentifier&amp;gt;_x000d__x000a_      &amp;lt;/dt_DecisionCase&amp;gt;_x000d__x000a_    &amp;lt;/DecisionDS&amp;gt;_x000d__x000a_  &amp;lt;/diffgr:diffgram&amp;gt;_x000d__x000a_&amp;lt;/DecisionDS&amp;gt;"/>
    <w:docVar w:name="DecisionID" w:val="153176635"/>
    <w:docVar w:name="WordClientAssemblyName" w:val="NGCS.Decision.ClientWordBL"/>
    <w:docVar w:name="WordClientClassName" w:val="NGCS.Decision.ClientWordBL.DecisionClient"/>
  </w:docVars>
  <w:rsids>
    <w:rsidRoot w:val="002914D6"/>
    <w:rsid w:val="00011212"/>
    <w:rsid w:val="00076353"/>
    <w:rsid w:val="00094813"/>
    <w:rsid w:val="0014058F"/>
    <w:rsid w:val="001931FD"/>
    <w:rsid w:val="001E0EB7"/>
    <w:rsid w:val="00242BA8"/>
    <w:rsid w:val="0025599D"/>
    <w:rsid w:val="002914D6"/>
    <w:rsid w:val="002F5307"/>
    <w:rsid w:val="003C2B44"/>
    <w:rsid w:val="003C669B"/>
    <w:rsid w:val="00503A57"/>
    <w:rsid w:val="00530E94"/>
    <w:rsid w:val="006C0524"/>
    <w:rsid w:val="007A2F62"/>
    <w:rsid w:val="00822AA5"/>
    <w:rsid w:val="00946045"/>
    <w:rsid w:val="00965854"/>
    <w:rsid w:val="009B12CE"/>
    <w:rsid w:val="00A54660"/>
    <w:rsid w:val="00A7089E"/>
    <w:rsid w:val="00A7661B"/>
    <w:rsid w:val="00B31305"/>
    <w:rsid w:val="00BC6A42"/>
    <w:rsid w:val="00C226D6"/>
    <w:rsid w:val="00CC4792"/>
    <w:rsid w:val="00CE7F78"/>
    <w:rsid w:val="00DC5C86"/>
    <w:rsid w:val="00DD046B"/>
    <w:rsid w:val="00E407CC"/>
    <w:rsid w:val="00EC08AF"/>
    <w:rsid w:val="00EC560E"/>
    <w:rsid w:val="00F50E07"/>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080795-B35A-4724-886A-2E62E016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76487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גיא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265105340</CasePartyID>
        <PartyTypeID>2</PartyTypeID>
        <ActivityStatusID>1</ActivityStatusID>
        <PartyAliasID>21</PartyAliasID>
        <PartyAliasName>בא כוח נתבעים</PartyAliasName>
        <LegalEntityID>402629</LegalEntityID>
        <CaseLegalEntityID>127402685</CaseLegalEntityID>
        <AuthenticationTypeID>4</AuthenticationTypeID>
        <AuthenticationTypeName>מ.ר.</AuthenticationTypeName>
        <LegalEntityNumber>25447</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ויסוצקי 14 תל אביב -יפו 62338</FullAddress>
        <EmailAddress>reut@lp-lawoffice.co.il</EmailAddress>
        <MotionID>0</MotionID>
        <CasePleaID>0</CasePleaID>
        <LinkedCaseID>0</LinkedCaseID>
        <PartyID>2</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ענת אלתגר</FullName>
        <FirstName>ענת אסטריה</FirstName>
        <LastName>אלתגר</LastName>
        <PartyPropertyName/>
        <AuthenticationTypeAndNumber>ת"ז 065949240</AuthenticationTypeAndNumber>
        <RepresentatedOrRepresentativesNames>טליה פרדו קופלמן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264861176</CasePartyID>
        <PartyTypeID>1</PartyTypeID>
        <ActivityStatusID>1</ActivityStatusID>
        <PartyAliasID>1</PartyAliasID>
        <PartyAliasName>תובע</PartyAliasName>
        <OrdinalNumber>1</OrdinalNumber>
        <LegalEntityID>70897197</LegalEntityID>
        <CaseLegalEntityID>127331722</CaseLegalEntityID>
        <AuthenticationTypeID>1</AuthenticationTypeID>
        <AuthenticationTypeName>ת"ז</AuthenticationTypeName>
        <LegalEntityNumber>065949240</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יעקב</FatherName>
        <LinkedCaseID>0</LinkedCaseID>
        <PartyID>1</PartyID>
        <CasePartyCategoryID>2</CasePartyCategoryID>
        <LegalEntityAddressID>88826000</LegalEntityAddressID>
        <PleaTypeID>4</PleaTypeID>
        <GroupPartyAlias>תובעים</GroupPartyAlias>
        <IsConverted>false</IsConverted>
        <LegalEntityRegisteredNameID>9124934</LegalEntityRegisteredNameID>
        <LegalEntityNameID>95985731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אלתגר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ענת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264861177</CasePartyID>
        <PartyTypeID>2</PartyTypeID>
        <ActivityStatusID>1</ActivityStatusID>
        <PartyAliasID>20</PartyAliasID>
        <PartyAliasName>בא כוח תובעים</PartyAliasName>
        <OrdinalNumber>1</OrdinalNumber>
        <LegalEntityID>382801</LegalEntityID>
        <CaseLegalEntityID>127331723</CaseLegalEntityID>
        <AuthenticationTypeID>4</AuthenticationTypeID>
        <AuthenticationTypeName>מ.ר.</AuthenticationTypeName>
        <LegalEntityNumber>11432</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מנחם בגין 7 רמת גן בית גיבור ספורט</FullAddress>
        <EmailAddress>talia@kopa-law.com</EmailAddress>
        <MotionID>0</MotionID>
        <CasePleaID>0</CasePleaID>
        <LinkedCaseID>0</LinkedCaseID>
        <PartyID>1</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אלתגר</FullName>
        <FirstName>גיא</FirstName>
        <LastName>אלתגר</LastName>
        <PartyPropertyName/>
        <AuthenticationTypeAndNumber>ת"ז 037202249</AuthenticationTypeAndNumber>
        <RepresentatedOrRepresentativesNames>רוברט ליכט פטרן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264861178</CasePartyID>
        <PartyTypeID>1</PartyTypeID>
        <ActivityStatusID>1</ActivityStatusID>
        <PartyAliasID>2</PartyAliasID>
        <PartyAliasName>נתבע</PartyAliasName>
        <OrdinalNumber>1</OrdinalNumber>
        <LegalEntityID>2463965</LegalEntityID>
        <CaseLegalEntityID>127331724</CaseLegalEntityID>
        <AuthenticationTypeID>1</AuthenticationTypeID>
        <AuthenticationTypeName>ת"ז</AuthenticationTypeName>
        <LegalEntityNumber>037202249</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רענן</FatherName>
        <LinkedCaseID>0</LinkedCaseID>
        <PartyID>2</PartyID>
        <CasePartyCategoryID>2</CasePartyCategoryID>
        <LegalEntityAddressID>88826001</LegalEntityAddressID>
        <PleaTypeID>4</PleaTypeID>
        <GroupPartyAlias>נתבעים</GroupPartyAlias>
        <IsConverted>false</IsConverted>
        <LegalEntityRegisteredNameID>357490</LegalEntityRegisteredNameID>
        <LegalEntityNameID>95985732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אלתגר</PublicationProhibitedFullName>
      </CaseParties>
    </CasePartiesSelectionDS>
    <DecisionName>החלטה  שניתנה ע"י  קרן גיל</DecisionName>
    <CourtDisplayName>בית משפט לענייני משפחה בתל אביב -יפו</CourtDisplayName>
    <IsCaseJudgePanel>false</IsCaseJudgePanel>
    <DecisionSignatureDate>2024-08-01T01:56:11.0837841+03:00</DecisionSignatureDate>
    <OpenCaseDate>2024-01-11T10:43:00+02:00</OpenCaseDate>
    <CaseFeeSum>0.000</CaseFeeSum>
    <DecisionTypeID>1</DecisionTypeID>
    <DecisionSignatureUserName>קרן גיל</DecisionSignatureUserName>
    <DecisionSignatureDateHebrew>2024-08-01T01:56:11.0837841+03:00</DecisionSignatureDateHebrew>
    <DecisionWriterID>038331781@GOV.IL</DecisionWriterID>
    <CourtAddress>רח' ויצמן 1, תל אביב -יפו 64239</CourtAddress>
    <IsAutoTextInCaseExist>false</IsAutoTextInCaseExist>
    <DecisionSignatureRoleName>שופט</DecisionSignatureRoleName>
    <DecisionSignatureUserTitleName>שופטת</DecisionSignatureUserTitleName>
    <CaseName>אלתגר נ' אלתגר</CaseName>
    <DecisionNumberInCase>31</DecisionNumberInCase>
  </dt_Decision>
  <dt_DecisionCase>
    <DecisionID>0</DecisionID>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רוברט ליכט פטרן</FullName>
        <FirstName>רוברט</FirstName>
        <LastName>ליכט פטרן</LastName>
        <PartyPropertyName/>
        <AuthenticationTypeAndNumber>מ.ר. 25447</AuthenticationTypeAndNumber>
        <RepresentatedOrRepresentativesNames>גיא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265105340</CasePartyID>
        <PartyTypeID>2</PartyTypeID>
        <ActivityStatusID>1</ActivityStatusID>
        <PartyAliasID>21</PartyAliasID>
        <PartyAliasName>בא כוח נתבעים</PartyAliasName>
        <LegalEntityID>402629</LegalEntityID>
        <CaseLegalEntityID>127402685</CaseLegalEntityID>
        <AuthenticationTypeID>4</AuthenticationTypeID>
        <AuthenticationTypeName>מ.ר.</AuthenticationTypeName>
        <LegalEntityNumber>25447</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ויסוצקי 14 תל אביב -יפו 62338</FullAddress>
        <EmailAddress>reut@lp-lawoffice.co.il</EmailAddress>
        <MotionID>0</MotionID>
        <CasePleaID>0</CasePleaID>
        <LinkedCaseID>0</LinkedCaseID>
        <PartyID>2</PartyID>
        <CasePartyCategoryID>2</CasePartyCategoryID>
        <LegalEntityAddressID>80438702</LegalEntityAddressID>
        <LegalEntityEmailAddressID>68181856</LegalEntityEmailAddressID>
        <PleaTypeID>4</PleaTypeID>
        <LawyerOfficeName>משרד עו"ד: רוברט ליכט פטרן</LawyerOfficeName>
        <LawyerOfficeID>443273</LawyerOfficeID>
        <GroupPartyAlias/>
        <IsConverted>false</IsConverted>
        <LegalEntityNameID>23613</LegalEntityNameID>
        <RepresentatedNamesOfAssistant/>
        <LegalEntityTypeID>4</LegalEntityTypeID>
        <IsVerdictExists>false</IsVerdictExists>
        <IsAsirAzir>false</IsAsirAzir>
        <MainAndSecSpec/>
        <IsPublicationProhibited>false</IsPublicationProhibited>
        <PublicationProhibitedFullName>רוברט ליכט פטרן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ענת אלתגר</FullName>
        <FirstName>ענת אסטריה</FirstName>
        <LastName>אלתגר</LastName>
        <PartyPropertyName/>
        <AuthenticationTypeAndNumber>ת"ז 065949240</AuthenticationTypeAndNumber>
        <RepresentatedOrRepresentativesNames>טליה פרדו קופלמן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264861176</CasePartyID>
        <PartyTypeID>1</PartyTypeID>
        <ActivityStatusID>1</ActivityStatusID>
        <PartyAliasID>1</PartyAliasID>
        <PartyAliasName>תובע</PartyAliasName>
        <OrdinalNumber>1</OrdinalNumber>
        <LegalEntityID>70897197</LegalEntityID>
        <CaseLegalEntityID>127331722</CaseLegalEntityID>
        <AuthenticationTypeID>1</AuthenticationTypeID>
        <AuthenticationTypeName>ת"ז</AuthenticationTypeName>
        <LegalEntityNumber>065949240</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יעקב</FatherName>
        <LinkedCaseID>0</LinkedCaseID>
        <PartyID>1</PartyID>
        <CasePartyCategoryID>2</CasePartyCategoryID>
        <LegalEntityAddressID>88826000</LegalEntityAddressID>
        <PleaTypeID>4</PleaTypeID>
        <GroupPartyAlias>תובעים</GroupPartyAlias>
        <IsConverted>false</IsConverted>
        <LegalEntityRegisteredNameID>9124934</LegalEntityRegisteredNameID>
        <LegalEntityNameID>95985731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ענת אלתגר</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טליה פרדו קופלמן</FullName>
        <FirstName>טליה</FirstName>
        <LastName>פרדו קופלמן</LastName>
        <PartyPropertyName/>
        <AuthenticationTypeAndNumber>מ.ר. 11432</AuthenticationTypeAndNumber>
        <RepresentatedOrRepresentativesNames>ענת אלתגר</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264861177</CasePartyID>
        <PartyTypeID>2</PartyTypeID>
        <ActivityStatusID>1</ActivityStatusID>
        <PartyAliasID>20</PartyAliasID>
        <PartyAliasName>בא כוח תובעים</PartyAliasName>
        <OrdinalNumber>1</OrdinalNumber>
        <LegalEntityID>382801</LegalEntityID>
        <CaseLegalEntityID>127331723</CaseLegalEntityID>
        <AuthenticationTypeID>4</AuthenticationTypeID>
        <AuthenticationTypeName>מ.ר.</AuthenticationTypeName>
        <LegalEntityNumber>11432</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מנחם בגין 7 רמת גן בית גיבור ספורט</FullAddress>
        <EmailAddress>talia@kopa-law.com</EmailAddress>
        <MotionID>0</MotionID>
        <CasePleaID>0</CasePleaID>
        <LinkedCaseID>0</LinkedCaseID>
        <PartyID>1</PartyID>
        <CasePartyCategoryID>2</CasePartyCategoryID>
        <LegalEntityAddressID>83818825</LegalEntityAddressID>
        <LegalEntityEmailAddressID>68408639</LegalEntityEmailAddressID>
        <PleaTypeID>4</PleaTypeID>
        <LawyerOfficeName>משרד עו"ד: טליה פרדו קופלמן</LawyerOfficeName>
        <LawyerOfficeID>423445</LawyerOfficeID>
        <GroupPartyAlias/>
        <IsConverted>false</IsConverted>
        <LegalEntityNameID>75530064</LegalEntityNameID>
        <RepresentatedNamesOfAssistant/>
        <LegalEntityTypeID>4</LegalEntityTypeID>
        <IsVerdictExists>false</IsVerdictExists>
        <IsAsirAzir>false</IsAsirAzir>
        <MainAndSecSpec/>
        <IsPublicationProhibited>false</IsPublicationProhibited>
        <PublicationProhibitedFullName>טליה פרדו קופלמן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גיא אלתגר</FullName>
        <FirstName>גיא</FirstName>
        <LastName>אלתגר</LastName>
        <PartyPropertyName/>
        <AuthenticationTypeAndNumber>ת"ז 037202249</AuthenticationTypeAndNumber>
        <RepresentatedOrRepresentativesNames>רוברט ליכט פטרן</RepresentatedOrRepresentativesNames>
        <RepresentatedOrRepresentativesCount>1</RepresentatedOrRepresentativesCount>
        <InvitedBy/>
        <CaseID>80901573</CaseID>
        <CaseJudicialPersonPresentationDS>
          <CaseJudicalPersonActive>
            <CaseID>80901573</CaseID>
            <JudicialPersonID>038331781@GOV.IL</JudicialPersonID>
            <JudicialPersonTypeID>1</JudicialPersonTypeID>
            <JudicialTypeID>1</JudicialTypeID>
            <IsChairman>false</IsChairman>
            <TreatmentStartDate>2024-01-11T11:13:11.91+02:00</TreatmentStartDate>
            <TreatmentFinishDate>9999-12-31T23:59:59+02:00</TreatmentFinishDate>
            <IdentificationCardNumber>038331781</IdentificationCardNumber>
            <DisplayName>קרן גיל</DisplayName>
            <JudicialTypeName>שופט</JudicialTypeName>
            <CaseJudicialGroupNumber>0</CaseJudicialGroupNumber>
            <FirstName>קרן</FirstName>
            <LastName>גיל</LastName>
            <JudicialPersonTitle>שופט</JudicialPersonTitle>
          </CaseJudicalPersonActive>
        </CaseJudicialPersonPresentationDS>
        <CasePartyID>264861178</CasePartyID>
        <PartyTypeID>1</PartyTypeID>
        <ActivityStatusID>1</ActivityStatusID>
        <PartyAliasID>2</PartyAliasID>
        <PartyAliasName>נתבע</PartyAliasName>
        <OrdinalNumber>1</OrdinalNumber>
        <LegalEntityID>2463965</LegalEntityID>
        <CaseLegalEntityID>127331724</CaseLegalEntityID>
        <AuthenticationTypeID>1</AuthenticationTypeID>
        <AuthenticationTypeName>ת"ז</AuthenticationTypeName>
        <LegalEntityNumber>037202249</LegalEntityNumber>
        <IsMainPartyType>true</IsMainPartyType>
        <CaseDisplayIdentifier>27197-01-24</CaseDisplayIdentifier>
        <CaseTypeID>10262</CaseTypeID>
        <CaseTypeName>תביעה לאחר הסדר התדיינויות במשפחה (תלה"מ)</CaseTypeName>
        <CaseName>אלתגר נ' אלתגר</CaseName>
        <FullAddress>הרב עוזיאל 4 תל אביב -יפו </FullAddress>
        <MotionID>0</MotionID>
        <CasePleaID>0</CasePleaID>
        <FatherName>רענן</FatherName>
        <LinkedCaseID>0</LinkedCaseID>
        <PartyID>2</PartyID>
        <CasePartyCategoryID>2</CasePartyCategoryID>
        <LegalEntityAddressID>88826001</LegalEntityAddressID>
        <PleaTypeID>4</PleaTypeID>
        <GroupPartyAlias>נתבעים</GroupPartyAlias>
        <IsConverted>false</IsConverted>
        <LegalEntityRegisteredNameID>357490</LegalEntityRegisteredNameID>
        <LegalEntityNameID>95985732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גיא אלתגר</PublicationProhibitedFullName>
      </CaseParties>
    </CasePartiesSelectionDS>
    <CaseName>אלתגר נ' אלתגר</CaseName>
    <CaseDisplayIdentifier>27197-01-24</CaseDisplayIdentifier>
    <CaseInterestID>10118</CaseInterestID>
    <CaseTypeShortName>תלה"מ</CaseTypeShortName>
  </dt_DecisionCase>
  <dt_DecisionJudgePanel>
    <JudgeID>038331781@GOV.IL</JudgeID>
    <DisplayName>קרן גיל</DisplayName>
    <RoleName>שופט</RoleName>
    <UserTitleName>שופטת</UserTitleName>
  </dt_DecisionJudgePanel>
  <dt_LegalEntityDetails>
    <Fax>03-9744920</Fax>
    <Phone>03-9744900</Phone>
    <AddressDesc>62338</AddressDesc>
    <PartyID>2</PartyID>
    <PartyTypeID>2</PartyTypeID>
    <DecisionID>0</DecisionID>
    <StreetName>ויסוצקי 14</StreetName>
    <ZipCode>6233807</ZipCode>
    <CityName>תל אביב -יפו</CityName>
    <FullName>רוברט ליכט פטרן</FullName>
    <Email>reut@lp-lawoffice.co.il</Email>
    <IsPublicationProhibited>false</IsPublicationProhibited>
  </dt_LegalEntityDetails>
  <dt_LegalEntityDetails>
    <PartyID>1</PartyID>
    <PartyTypeID>1</PartyTypeID>
    <DecisionID>0</DecisionID>
    <StreetName>הרב עוזיאל 4</StreetName>
    <CityName>תל אביב -יפו</CityName>
    <FullName>ענת  אלתגר</FullName>
    <IsPublicationProhibited>false</IsPublicationProhibited>
  </dt_LegalEntityDetails>
  <dt_LegalEntityDetails>
    <Fax>03-5274441</Fax>
    <Phone>03-5274440</Phone>
    <AddressDesc>בית גיבור ספורט</AddressDesc>
    <PartyID>1</PartyID>
    <PartyTypeID>2</PartyTypeID>
    <DecisionID>0</DecisionID>
    <StreetName>מנחם בגין 7</StreetName>
    <ZipCode>5268102</ZipCode>
    <CityName>רמת גן</CityName>
    <FullName>טליה פרדו קופלמן</FullName>
    <Email>talia@kopa-law.com</Email>
    <IsPublicationProhibited>false</IsPublicationProhibited>
  </dt_LegalEntityDetails>
  <dt_LegalEntityDetails>
    <PartyID>2</PartyID>
    <PartyTypeID>1</PartyTypeID>
    <DecisionID>0</DecisionID>
    <StreetName>הרב עוזיאל 4</StreetName>
    <CityName>תל אביב -יפו</CityName>
    <FullName>גיא  אלתגר</FullName>
    <IsPublicationProhibited>false</IsPublicationProhibited>
  </dt_LegalEntityDetails>
  <dt_CaseJudicalPersonActive>
    <CaseJudicalPerson>שופטת קרן גיל</CaseJudicalPerson>
  </dt_CaseJudicalPersonActive>
  <dt_Sitting>
    <FutureSittingDate>2024-09-23T10:00:00+03:00</FutureSittingDate>
    <PreviousMeetingDate>2024-04-03T12:00:00+03:00</PreviousMeetingDate>
    <NextSittingTypeID>5</NextSittingTypeID>
    <PreviousSittingTypeID>5</PreviousSittingTypeID>
    <NextMeetingDisplayName>שופטת קרן גיל</NextMeetingDisplayName>
    <NextMeetingRoleName>שופט</NextMeetingRoleName>
    <NextMeetingUserTitleName>שופטת</NextMeetingUserTitleName>
    <NextMeetingUserUPN>038331781@GOV.IL</NextMeetingUserUPN>
    <PreviousMeetingDisplayName>שופטת קרן גיל</PreviousMeetingDisplayName>
    <PreviousMeetingRoleName>שופט</PreviousMeetingRoleName>
    <PreviousMeetingUserTitleName>שופטת</PreviousMeetingUserTitleName>
    <PreviousMeetingUserUPN>038331781@GOV.IL</PreviousMeetingUserUPN>
  </dt_Sitting>
</DecisionTemplateDS>
</file>

<file path=customXml/itemProps1.xml><?xml version="1.0" encoding="utf-8"?>
<ds:datastoreItem xmlns:ds="http://schemas.openxmlformats.org/officeDocument/2006/customXml" ds:itemID="{BF69107A-19A7-41CF-8EFB-C13C5A288B8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818</Words>
  <Characters>4091</Characters>
  <Application>Microsoft Office Word</Application>
  <DocSecurity>0</DocSecurity>
  <Lines>34</Lines>
  <Paragraphs>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2024-08-08T07:26:00Z</dcterms:created>
  <dcterms:modified xsi:type="dcterms:W3CDTF">2024-08-08T07:26:00Z</dcterms:modified>
</cp:coreProperties>
</file>